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贵州省卫生专业技术资格考试网上缴费说明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一、网上缴费前准备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考生通过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考点、考区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卫生专业技术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资格考试报名资格审核。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考生确认银行卡已开通网上支付功能，同时熟悉并掌握网上支付流程。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二、网上缴费操作流程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（一）正确操作网上支付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考生登录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国家卫生健康委人才交流服务中心官网（www．21wecan．com，原中国卫生人才网）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考试服务系统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→点击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报考流程上的【缴费】节点或左侧的【网上缴费】，核对报考专业科目和金额→点击“支付”按钮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→跳转至“易宝支付”收银台页面完成缴费。</w:t>
      </w:r>
    </w:p>
    <w:p>
      <w:pPr>
        <w:pStyle w:val="2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972050" cy="2095500"/>
            <wp:effectExtent l="0" t="0" r="6350" b="0"/>
            <wp:docPr id="2" name="图片 2" descr="2022121312140194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12131214019420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569585" cy="2611120"/>
            <wp:effectExtent l="0" t="0" r="12065" b="17780"/>
            <wp:docPr id="3" name="图片 5" descr="C:\Users\Administrator\Desktop\9ZS_2~_S%S]H}VIW`{R60YS.png9ZS_2~_S%S]H}VIW`{R60Y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C:\Users\Administrator\Desktop\9ZS_2~_S%S]H}VIW`{R60YS.png9ZS_2~_S%S]H}VIW`{R60YS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9585" cy="261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（银行卡快捷支付）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说明：考生输入银行卡卡号相关信息+手机号短信验证即可完成支付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宋体"/>
          <w:lang w:eastAsia="zh-CN"/>
        </w:rPr>
      </w:pPr>
      <w:r>
        <w:rPr>
          <w:sz w:val="32"/>
          <w:szCs w:val="32"/>
        </w:rPr>
        <w:drawing>
          <wp:inline distT="0" distB="0" distL="0" distR="0">
            <wp:extent cx="5644515" cy="3876040"/>
            <wp:effectExtent l="0" t="0" r="13335" b="10160"/>
            <wp:docPr id="4" name="图片 1" descr="C:\Users\Administrator\Desktop\)5XOPZCZB%Z{@8WJ[NZG_00.png)5XOPZCZB%Z{@8WJ[NZG_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strator\Desktop\)5XOPZCZB%Z{@8WJ[NZG_00.png)5XOPZCZB%Z{@8WJ[NZG_00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4515" cy="3876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650230" cy="2940685"/>
            <wp:effectExtent l="0" t="0" r="7620" b="12065"/>
            <wp:docPr id="5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29406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（网银支付）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_GB2312" w:eastAsia="仿宋_GB2312" w:cs="仿宋_GB2312"/>
          <w:spacing w:val="-1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28"/>
          <w:szCs w:val="28"/>
          <w:lang w:val="en-US" w:eastAsia="zh-CN"/>
        </w:rPr>
        <w:t>说明：考生选择银行，点击银行跳转至银行网关页面，根据银行提示完成支付。</w:t>
      </w:r>
    </w:p>
    <w:p>
      <w:pPr>
        <w:numPr>
          <w:ilvl w:val="0"/>
          <w:numId w:val="0"/>
        </w:numPr>
        <w:tabs>
          <w:tab w:val="left" w:pos="80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648325" cy="2647315"/>
            <wp:effectExtent l="0" t="0" r="9525" b="635"/>
            <wp:docPr id="6" name="image35.png" descr="C:\Users\Administrator\Desktop\9ZS_2~_S%S]H}VIW`{R60YS.png9ZS_2~_S%S]H}VIW`{R60Y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5.png" descr="C:\Users\Administrator\Desktop\9ZS_2~_S%S]H}VIW`{R60YS.png9ZS_2~_S%S]H}VIW`{R60YS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647315"/>
                    </a:xfrm>
                    <a:prstGeom prst="rect">
                      <a:avLst/>
                    </a:prstGeom>
                    <a:ln w="12700" cap="flat" cmpd="sng">
                      <a:noFill/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80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640070" cy="2809875"/>
            <wp:effectExtent l="0" t="0" r="17780" b="9525"/>
            <wp:docPr id="7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0070" cy="2809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0" w:lineRule="atLeast"/>
        <w:ind w:firstLine="552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（微信支付）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0" w:lineRule="atLeast"/>
        <w:ind w:firstLine="552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说明：直接通过微信扫一扫完成支付。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（二）网上缴费结果查询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1.考生缴费完成后回到系统中，系统会询问是否支付成功，若成功点击“确定”按钮，之后【缴费】节点变为绿色，则表示已缴费成功。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按照网站提示完成网上缴费后，系统会自动跳转页面，此时不要关闭浏览器，不要进行操作，之后在报考项目中缴费状态显示“已缴费”，则表示已缴费成功。如果支付成功，系统将反馈支付已完成的缴费订单号和交易流水号等信息，缴费后务必牢记订单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3.由于银行接口通讯存在延时的情况，若当时未能显示“已缴费”，请稍后刷新页面再查询。如缴费操作已完成，考生可通过登录网上银行、银行客服电话、ATM或柜台等方式查询账户内余额。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4.如发现银行已扣款48小时以上，但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国家卫生健康委人才交流服务中心官网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考生服务系统</w:t>
      </w:r>
      <w:r>
        <w:rPr>
          <w:rFonts w:hint="eastAsia" w:ascii="仿宋_GB2312" w:hAnsi="仿宋_GB2312" w:eastAsia="仿宋_GB2312" w:cs="仿宋_GB2312"/>
          <w:lang w:val="en-US" w:eastAsia="zh-CN"/>
        </w:rPr>
        <w:t>上仍未能显示“已缴费”，请将该订单号提供给“易宝支付”客服人工查询缴费状态。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三、关于退款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lang w:val="en-US" w:eastAsia="zh-CN"/>
        </w:rPr>
        <w:t>如果同一考生发现被重复扣款，请不用担心，银行会自动退款到你的银行卡上。如有疑问，请联系“易宝支付”客服。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针对其它原因等需给考生退款情况，“易宝支付”提供原路退款功能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如遇退款失败，考生可找</w:t>
      </w:r>
      <w:r>
        <w:rPr>
          <w:rFonts w:hint="eastAsia" w:ascii="仿宋_GB2312" w:hAnsi="仿宋_GB2312" w:eastAsia="仿宋_GB2312" w:cs="仿宋_GB2312"/>
          <w:lang w:val="en-US" w:eastAsia="zh-CN"/>
        </w:rPr>
        <w:t>“易宝支付”客服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团队申请线下退款。</w:t>
      </w:r>
    </w:p>
    <w:p>
      <w:pPr>
        <w:spacing w:line="240" w:lineRule="atLeast"/>
        <w:rPr>
          <w:rFonts w:hint="eastAsia" w:ascii="黑体" w:hAnsi="黑体" w:eastAsia="黑体" w:cs="黑体"/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87" w:header="1134" w:footer="1134" w:gutter="0"/>
      <w:pgNumType w:fmt="numberInDash" w:start="1"/>
      <w:cols w:space="0" w:num="1"/>
      <w:rtlGutter w:val="0"/>
      <w:docGrid w:type="linesAndChars" w:linePitch="59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宋体"/>
    <w:panose1 w:val="020B0604020002020204"/>
    <w:charset w:val="86"/>
    <w:family w:val="swiss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right"/>
      <w:rPr>
        <w:rFonts w:ascii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7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  <w:docVar w:name="KSO_WPS_MARK_KEY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/>
    </w:rPr>
  </w:style>
  <w:style w:type="character" w:default="1" w:styleId="9">
    <w:name w:val="Default Paragraph Font"/>
    <w:qFormat/>
    <w:uiPriority w:val="1"/>
  </w:style>
  <w:style w:type="table" w:default="1" w:styleId="1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leftChars="200" w:right="0" w:hanging="200" w:hangingChars="200"/>
      <w:jc w:val="both"/>
    </w:pPr>
    <w:rPr>
      <w:rFonts w:hint="default" w:ascii="Calibri" w:hAnsi="Calibri" w:eastAsia="仿宋" w:cs="宋体"/>
      <w:kern w:val="2"/>
      <w:sz w:val="32"/>
      <w:szCs w:val="22"/>
      <w:lang w:val="en-US" w:eastAsia="zh-CN"/>
    </w:rPr>
  </w:style>
  <w:style w:type="paragraph" w:styleId="4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1"/>
    <w:qFormat/>
    <w:uiPriority w:val="0"/>
    <w:pPr>
      <w:widowControl w:val="0"/>
      <w:jc w:val="both"/>
    </w:pPr>
    <w:rPr>
      <w:rFonts w:ascii="Times New Roman" w:hAnsi="Times New Roman" w:eastAsia="宋体" w:cs="Calibri"/>
      <w:sz w:val="21"/>
      <w:szCs w:val="21"/>
      <w:lang w:val="en-US" w:eastAsia="zh-CN" w:bidi="ar-SA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6">
    <w:name w:val="List Paragraph"/>
    <w:basedOn w:val="1"/>
    <w:qFormat/>
    <w:uiPriority w:val="34"/>
    <w:pPr>
      <w:tabs>
        <w:tab w:val="left" w:pos="800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医考领导小组办公室文件-模板（2014）.dot</Template>
  <Company>微软中国</Company>
  <Pages>8</Pages>
  <Words>1684</Words>
  <Characters>1799</Characters>
  <Lines>0</Lines>
  <Paragraphs>99</Paragraphs>
  <TotalTime>0</TotalTime>
  <ScaleCrop>false</ScaleCrop>
  <LinksUpToDate>false</LinksUpToDate>
  <CharactersWithSpaces>1839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2017-03-16T16:40:00Z</dcterms:created>
  <dc:creator>THTFPC</dc:creator>
  <cp:lastModifiedBy>iPhone</cp:lastModifiedBy>
  <cp:lastPrinted>2023-02-16T01:04:00Z</cp:lastPrinted>
  <dcterms:modified xsi:type="dcterms:W3CDTF">2023-02-19T13:56:58Z</dcterms:modified>
  <dc:title>关于收缴2003年医师资格实践技能考试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2052-11.34.1</vt:lpwstr>
  </property>
  <property fmtid="{D5CDD505-2E9C-101B-9397-08002B2CF9AE}" pid="3" name="KSOSaveFontToCloudKey">
    <vt:lpwstr>253952438_cloud</vt:lpwstr>
  </property>
  <property fmtid="{D5CDD505-2E9C-101B-9397-08002B2CF9AE}" pid="4" name="ICV">
    <vt:lpwstr>BC264F8DF6D1916E2ABAF163BD4432C9_33</vt:lpwstr>
  </property>
</Properties>
</file>